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Pr="00787A08" w:rsidRDefault="006F7825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</w:pP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</w:rPr>
        <w:t xml:space="preserve"> </w:t>
      </w:r>
      <w:r w:rsidR="00787A08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FLEX</w:t>
      </w:r>
    </w:p>
    <w:p w:rsidR="00787A08" w:rsidRPr="00787A08" w:rsidRDefault="00787A08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7A08">
        <w:rPr>
          <w:rFonts w:ascii="Times New Roman" w:hAnsi="Times New Roman" w:cs="Times New Roman"/>
          <w:sz w:val="20"/>
          <w:szCs w:val="20"/>
        </w:rPr>
        <w:t xml:space="preserve">Высокоэластичная полиэфирная шпатлевка </w:t>
      </w:r>
      <w:r>
        <w:rPr>
          <w:rFonts w:ascii="Times New Roman" w:hAnsi="Times New Roman" w:cs="Times New Roman"/>
          <w:sz w:val="20"/>
          <w:szCs w:val="20"/>
        </w:rPr>
        <w:t>по пластику</w:t>
      </w:r>
    </w:p>
    <w:p w:rsidR="00D86497" w:rsidRPr="006F7825" w:rsidRDefault="00D86497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Артикул товара: </w:t>
      </w:r>
      <w:r w:rsidR="00CD5E35" w:rsidRPr="00CD5E35">
        <w:rPr>
          <w:rFonts w:ascii="Times New Roman" w:hAnsi="Times New Roman" w:cs="Times New Roman"/>
          <w:sz w:val="20"/>
          <w:szCs w:val="20"/>
        </w:rPr>
        <w:t xml:space="preserve">318.0210 </w:t>
      </w:r>
      <w:r w:rsidR="006F7825">
        <w:rPr>
          <w:rFonts w:ascii="Times New Roman" w:hAnsi="Times New Roman" w:cs="Times New Roman"/>
          <w:sz w:val="20"/>
          <w:szCs w:val="20"/>
        </w:rPr>
        <w:t>- (</w:t>
      </w:r>
      <w:r w:rsidR="00CD5E35">
        <w:rPr>
          <w:rFonts w:ascii="Times New Roman" w:hAnsi="Times New Roman" w:cs="Times New Roman"/>
          <w:sz w:val="20"/>
          <w:szCs w:val="20"/>
        </w:rPr>
        <w:t>210</w:t>
      </w:r>
      <w:r w:rsidRPr="00D86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6497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D86497">
        <w:rPr>
          <w:rFonts w:ascii="Times New Roman" w:hAnsi="Times New Roman" w:cs="Times New Roman"/>
          <w:sz w:val="20"/>
          <w:szCs w:val="20"/>
        </w:rPr>
        <w:t>)</w:t>
      </w:r>
      <w:r w:rsidR="006F7825" w:rsidRPr="006F7825">
        <w:rPr>
          <w:rFonts w:ascii="Times New Roman" w:hAnsi="Times New Roman" w:cs="Times New Roman"/>
          <w:sz w:val="20"/>
          <w:szCs w:val="20"/>
        </w:rPr>
        <w:t xml:space="preserve"> </w:t>
      </w:r>
      <w:r w:rsidR="00CD5E35" w:rsidRPr="00CD5E35">
        <w:rPr>
          <w:rFonts w:ascii="Times New Roman" w:hAnsi="Times New Roman" w:cs="Times New Roman"/>
          <w:sz w:val="20"/>
          <w:szCs w:val="20"/>
        </w:rPr>
        <w:t xml:space="preserve">318.0500 </w:t>
      </w:r>
      <w:r w:rsidR="006F7825">
        <w:rPr>
          <w:rFonts w:ascii="Times New Roman" w:hAnsi="Times New Roman" w:cs="Times New Roman"/>
          <w:sz w:val="20"/>
          <w:szCs w:val="20"/>
        </w:rPr>
        <w:t>- (</w:t>
      </w:r>
      <w:r w:rsidR="00CD5E35">
        <w:rPr>
          <w:rFonts w:ascii="Times New Roman" w:hAnsi="Times New Roman" w:cs="Times New Roman"/>
          <w:sz w:val="20"/>
          <w:szCs w:val="20"/>
        </w:rPr>
        <w:t>500</w:t>
      </w:r>
      <w:r w:rsidR="006F7825" w:rsidRPr="006F78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7825" w:rsidRPr="006F7825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6F7825" w:rsidRPr="006F7825">
        <w:rPr>
          <w:rFonts w:ascii="Times New Roman" w:hAnsi="Times New Roman" w:cs="Times New Roman"/>
          <w:sz w:val="20"/>
          <w:szCs w:val="20"/>
        </w:rPr>
        <w:t>)</w:t>
      </w:r>
    </w:p>
    <w:p w:rsidR="00D86497" w:rsidRPr="00B80E69" w:rsidRDefault="00D86497" w:rsidP="00D86497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М</w:t>
      </w:r>
      <w:r w:rsidRPr="00B80E69">
        <w:rPr>
          <w:sz w:val="20"/>
          <w:szCs w:val="20"/>
          <w:u w:val="single"/>
        </w:rPr>
        <w:t>ПОН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z w:val="20"/>
          <w:szCs w:val="20"/>
          <w:u w:val="single"/>
        </w:rPr>
        <w:t>Н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Ы</w:t>
      </w:r>
      <w:r w:rsidRPr="00B80E69">
        <w:rPr>
          <w:spacing w:val="-3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pacing w:val="1"/>
          <w:sz w:val="20"/>
          <w:szCs w:val="20"/>
          <w:u w:val="single"/>
        </w:rPr>
        <w:t>У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А:</w:t>
      </w:r>
    </w:p>
    <w:p w:rsidR="00D86497" w:rsidRPr="00B80E69" w:rsidRDefault="00D86497" w:rsidP="00D86497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Шпатлевка полиэфирная </w:t>
      </w:r>
      <w:r w:rsidR="00787A08">
        <w:rPr>
          <w:bCs/>
          <w:spacing w:val="-2"/>
          <w:sz w:val="20"/>
          <w:szCs w:val="20"/>
          <w:lang w:val="en-US"/>
        </w:rPr>
        <w:t>FLEX</w:t>
      </w:r>
    </w:p>
    <w:p w:rsidR="006F7825" w:rsidRDefault="00D86497" w:rsidP="006F7825">
      <w:pPr>
        <w:pStyle w:val="a7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Отвердитель </w:t>
      </w:r>
      <w:r w:rsidRPr="00B80E69">
        <w:rPr>
          <w:bCs/>
          <w:spacing w:val="-2"/>
          <w:sz w:val="20"/>
          <w:szCs w:val="20"/>
        </w:rPr>
        <w:t>для полиэфирной шпатлевки</w:t>
      </w:r>
    </w:p>
    <w:p w:rsidR="006F7825" w:rsidRPr="006F7825" w:rsidRDefault="006F7825" w:rsidP="006F7825">
      <w:pPr>
        <w:pStyle w:val="a7"/>
        <w:kinsoku w:val="0"/>
        <w:overflowPunct w:val="0"/>
        <w:ind w:left="0" w:right="1954"/>
        <w:rPr>
          <w:sz w:val="20"/>
          <w:szCs w:val="20"/>
        </w:rPr>
      </w:pP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ХАРАКТЕРИСТИКА:</w:t>
      </w:r>
    </w:p>
    <w:p w:rsidR="00787A08" w:rsidRPr="00787A08" w:rsidRDefault="00787A08" w:rsidP="00787A0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2-</w:t>
      </w:r>
      <w:r w:rsidRPr="00787A08">
        <w:rPr>
          <w:rFonts w:ascii="Times New Roman" w:eastAsia="Calibri" w:hAnsi="Times New Roman" w:cs="Times New Roman"/>
          <w:sz w:val="20"/>
          <w:szCs w:val="20"/>
        </w:rPr>
        <w:t xml:space="preserve">х </w:t>
      </w:r>
      <w:proofErr w:type="gramStart"/>
      <w:r w:rsidRPr="00787A08">
        <w:rPr>
          <w:rFonts w:ascii="Times New Roman" w:eastAsia="Calibri" w:hAnsi="Times New Roman" w:cs="Times New Roman"/>
          <w:sz w:val="20"/>
          <w:szCs w:val="20"/>
        </w:rPr>
        <w:t>компонентная  эластичная</w:t>
      </w:r>
      <w:proofErr w:type="gramEnd"/>
      <w:r w:rsidRPr="00787A08">
        <w:rPr>
          <w:rFonts w:ascii="Times New Roman" w:eastAsia="Calibri" w:hAnsi="Times New Roman" w:cs="Times New Roman"/>
          <w:sz w:val="20"/>
          <w:szCs w:val="20"/>
        </w:rPr>
        <w:t xml:space="preserve"> полиэфирная шпатлевка для кузовного ремонта. Рекомендуется для ремонта элементов кузова из пластмассы, подверженных вибрации.</w:t>
      </w:r>
    </w:p>
    <w:p w:rsidR="00787A08" w:rsidRPr="00787A08" w:rsidRDefault="00787A08" w:rsidP="00787A08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7A08">
        <w:rPr>
          <w:rFonts w:ascii="Times New Roman" w:eastAsia="Calibri" w:hAnsi="Times New Roman" w:cs="Times New Roman"/>
          <w:sz w:val="20"/>
          <w:szCs w:val="20"/>
        </w:rPr>
        <w:t>Высокая адгезия к пластмассам.</w:t>
      </w:r>
    </w:p>
    <w:p w:rsidR="00787A08" w:rsidRPr="00787A08" w:rsidRDefault="00787A08" w:rsidP="00787A08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7A08">
        <w:rPr>
          <w:rFonts w:ascii="Times New Roman" w:eastAsia="Calibri" w:hAnsi="Times New Roman" w:cs="Times New Roman"/>
          <w:sz w:val="20"/>
          <w:szCs w:val="20"/>
        </w:rPr>
        <w:t>Высокая эластичность.</w:t>
      </w:r>
    </w:p>
    <w:p w:rsidR="00787A08" w:rsidRPr="00787A08" w:rsidRDefault="00787A08" w:rsidP="00787A08">
      <w:pPr>
        <w:pStyle w:val="aa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87A08">
        <w:rPr>
          <w:rFonts w:ascii="Times New Roman" w:eastAsia="Calibri" w:hAnsi="Times New Roman" w:cs="Times New Roman"/>
          <w:sz w:val="20"/>
          <w:szCs w:val="20"/>
        </w:rPr>
        <w:t>Легко шлифуется, образуя гладкую поверхность без пор.</w:t>
      </w:r>
    </w:p>
    <w:p w:rsidR="006F7825" w:rsidRPr="006F7825" w:rsidRDefault="006F7825" w:rsidP="00787A0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ИСПОЛЬЗОВАНИЕ:</w:t>
      </w:r>
    </w:p>
    <w:p w:rsidR="00787A08" w:rsidRPr="00787A08" w:rsidRDefault="00A773B7" w:rsidP="00787A08">
      <w:pPr>
        <w:pStyle w:val="ab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Шпат</w:t>
      </w:r>
      <w:r w:rsidR="00787A08" w:rsidRPr="00787A08">
        <w:rPr>
          <w:rFonts w:ascii="Times New Roman" w:hAnsi="Times New Roman" w:cs="Times New Roman"/>
          <w:sz w:val="20"/>
        </w:rPr>
        <w:t xml:space="preserve">левка обладает хорошей адгезией к </w:t>
      </w:r>
      <w:proofErr w:type="gramStart"/>
      <w:r w:rsidR="00787A08" w:rsidRPr="00787A08">
        <w:rPr>
          <w:rFonts w:ascii="Times New Roman" w:hAnsi="Times New Roman" w:cs="Times New Roman"/>
          <w:sz w:val="20"/>
        </w:rPr>
        <w:t>большинству  поверхностей</w:t>
      </w:r>
      <w:proofErr w:type="gramEnd"/>
      <w:r w:rsidR="00787A08" w:rsidRPr="00787A08">
        <w:rPr>
          <w:rFonts w:ascii="Times New Roman" w:hAnsi="Times New Roman" w:cs="Times New Roman"/>
          <w:sz w:val="20"/>
        </w:rPr>
        <w:t xml:space="preserve"> из пластмасс. </w:t>
      </w:r>
      <w:proofErr w:type="gramStart"/>
      <w:r w:rsidR="00787A08" w:rsidRPr="00787A08">
        <w:rPr>
          <w:rFonts w:ascii="Times New Roman" w:hAnsi="Times New Roman" w:cs="Times New Roman"/>
          <w:sz w:val="20"/>
          <w:lang w:val="en-US"/>
        </w:rPr>
        <w:t>( ABS</w:t>
      </w:r>
      <w:proofErr w:type="gramEnd"/>
      <w:r w:rsidR="00787A08" w:rsidRPr="00787A08">
        <w:rPr>
          <w:rFonts w:ascii="Times New Roman" w:hAnsi="Times New Roman" w:cs="Times New Roman"/>
          <w:sz w:val="20"/>
          <w:lang w:val="en-US"/>
        </w:rPr>
        <w:t xml:space="preserve">, PC, PPO, PA, RTPU, PBTP, PVC, PUR, UP-GF). </w:t>
      </w:r>
    </w:p>
    <w:p w:rsidR="00787A08" w:rsidRPr="00787A08" w:rsidRDefault="00787A08" w:rsidP="00787A08">
      <w:pPr>
        <w:pStyle w:val="ab"/>
        <w:rPr>
          <w:rFonts w:ascii="Times New Roman" w:hAnsi="Times New Roman" w:cs="Times New Roman"/>
          <w:sz w:val="20"/>
        </w:rPr>
      </w:pPr>
      <w:proofErr w:type="gramStart"/>
      <w:r w:rsidRPr="00787A08">
        <w:rPr>
          <w:rFonts w:ascii="Times New Roman" w:hAnsi="Times New Roman" w:cs="Times New Roman"/>
          <w:sz w:val="20"/>
        </w:rPr>
        <w:t>Пове</w:t>
      </w:r>
      <w:r w:rsidR="00A773B7">
        <w:rPr>
          <w:rFonts w:ascii="Times New Roman" w:hAnsi="Times New Roman" w:cs="Times New Roman"/>
          <w:sz w:val="20"/>
        </w:rPr>
        <w:t>рхность</w:t>
      </w:r>
      <w:proofErr w:type="gramEnd"/>
      <w:r w:rsidR="00A773B7">
        <w:rPr>
          <w:rFonts w:ascii="Times New Roman" w:hAnsi="Times New Roman" w:cs="Times New Roman"/>
          <w:sz w:val="20"/>
        </w:rPr>
        <w:t xml:space="preserve"> предназначенную для шпат</w:t>
      </w:r>
      <w:r w:rsidRPr="00787A08">
        <w:rPr>
          <w:rFonts w:ascii="Times New Roman" w:hAnsi="Times New Roman" w:cs="Times New Roman"/>
          <w:sz w:val="20"/>
        </w:rPr>
        <w:t>левания следует предварительно тщательно обезжирить</w:t>
      </w:r>
      <w:r w:rsidR="00CD5E35" w:rsidRPr="00CD5E35">
        <w:rPr>
          <w:rFonts w:ascii="Times New Roman" w:hAnsi="Times New Roman" w:cs="Times New Roman"/>
          <w:sz w:val="20"/>
          <w:szCs w:val="20"/>
        </w:rPr>
        <w:t xml:space="preserve"> </w:t>
      </w:r>
      <w:r w:rsidR="00CD5E35" w:rsidRPr="00CD5E35">
        <w:rPr>
          <w:rFonts w:ascii="Times New Roman" w:hAnsi="Times New Roman" w:cs="Times New Roman"/>
          <w:sz w:val="20"/>
        </w:rPr>
        <w:t>SOLID SILICON CLEANER</w:t>
      </w:r>
      <w:r w:rsidRPr="00787A08">
        <w:rPr>
          <w:rFonts w:ascii="Times New Roman" w:hAnsi="Times New Roman" w:cs="Times New Roman"/>
          <w:sz w:val="20"/>
        </w:rPr>
        <w:t xml:space="preserve"> и прошлифовать </w:t>
      </w:r>
      <w:r>
        <w:rPr>
          <w:rFonts w:ascii="Times New Roman" w:hAnsi="Times New Roman" w:cs="Times New Roman"/>
          <w:sz w:val="20"/>
        </w:rPr>
        <w:t xml:space="preserve">абразивом на </w:t>
      </w:r>
      <w:proofErr w:type="spellStart"/>
      <w:r>
        <w:rPr>
          <w:rFonts w:ascii="Times New Roman" w:hAnsi="Times New Roman" w:cs="Times New Roman"/>
          <w:sz w:val="20"/>
        </w:rPr>
        <w:t>нетканной</w:t>
      </w:r>
      <w:proofErr w:type="spellEnd"/>
      <w:r>
        <w:rPr>
          <w:rFonts w:ascii="Times New Roman" w:hAnsi="Times New Roman" w:cs="Times New Roman"/>
          <w:sz w:val="20"/>
        </w:rPr>
        <w:t xml:space="preserve"> основе</w:t>
      </w:r>
      <w:r w:rsidRPr="00787A08">
        <w:rPr>
          <w:rFonts w:ascii="Times New Roman" w:hAnsi="Times New Roman" w:cs="Times New Roman"/>
          <w:sz w:val="20"/>
        </w:rPr>
        <w:t xml:space="preserve">. Повторно обезжирить </w:t>
      </w:r>
      <w:r>
        <w:rPr>
          <w:rFonts w:ascii="Times New Roman" w:hAnsi="Times New Roman" w:cs="Times New Roman"/>
          <w:sz w:val="20"/>
        </w:rPr>
        <w:t>обезжиривателем</w:t>
      </w:r>
      <w:r w:rsidR="00CD5E35" w:rsidRPr="00CD5E35">
        <w:rPr>
          <w:rFonts w:ascii="Times New Roman" w:hAnsi="Times New Roman" w:cs="Times New Roman"/>
          <w:sz w:val="20"/>
          <w:szCs w:val="20"/>
        </w:rPr>
        <w:t xml:space="preserve"> </w:t>
      </w:r>
      <w:r w:rsidR="00CD5E35" w:rsidRPr="00CD5E35">
        <w:rPr>
          <w:rFonts w:ascii="Times New Roman" w:hAnsi="Times New Roman" w:cs="Times New Roman"/>
          <w:sz w:val="20"/>
        </w:rPr>
        <w:t>SOLID SILICON CLEANER</w:t>
      </w:r>
      <w:r w:rsidRPr="00787A08">
        <w:rPr>
          <w:rFonts w:ascii="Times New Roman" w:hAnsi="Times New Roman" w:cs="Times New Roman"/>
          <w:sz w:val="20"/>
        </w:rPr>
        <w:t>, промыть водой и высушить.</w:t>
      </w:r>
    </w:p>
    <w:p w:rsidR="00787A08" w:rsidRPr="00787A08" w:rsidRDefault="00787A08" w:rsidP="00787A08">
      <w:pPr>
        <w:pStyle w:val="ab"/>
        <w:rPr>
          <w:rFonts w:ascii="Times New Roman" w:hAnsi="Times New Roman" w:cs="Times New Roman"/>
          <w:sz w:val="20"/>
        </w:rPr>
      </w:pPr>
      <w:r w:rsidRPr="00787A08">
        <w:rPr>
          <w:rFonts w:ascii="Times New Roman" w:hAnsi="Times New Roman" w:cs="Times New Roman"/>
          <w:sz w:val="20"/>
        </w:rPr>
        <w:t xml:space="preserve">Рекомендуется перед началом лакокрасочных работ прогреть элемент до температуры </w:t>
      </w:r>
    </w:p>
    <w:p w:rsidR="00787A08" w:rsidRPr="00787A08" w:rsidRDefault="00787A08" w:rsidP="00787A08">
      <w:pPr>
        <w:pStyle w:val="ab"/>
        <w:rPr>
          <w:rFonts w:ascii="Times New Roman" w:hAnsi="Times New Roman" w:cs="Times New Roman"/>
          <w:sz w:val="20"/>
        </w:rPr>
      </w:pPr>
      <w:r w:rsidRPr="00787A08">
        <w:rPr>
          <w:rFonts w:ascii="Times New Roman" w:hAnsi="Times New Roman" w:cs="Times New Roman"/>
          <w:sz w:val="20"/>
        </w:rPr>
        <w:t>50</w:t>
      </w:r>
      <w:r w:rsidRPr="00787A08">
        <w:rPr>
          <w:rFonts w:ascii="Times New Roman" w:hAnsi="Times New Roman" w:cs="Times New Roman"/>
          <w:sz w:val="20"/>
          <w:vertAlign w:val="superscript"/>
          <w:lang w:val="pl-PL"/>
        </w:rPr>
        <w:t>o</w:t>
      </w:r>
      <w:r w:rsidRPr="00787A08">
        <w:rPr>
          <w:rFonts w:ascii="Times New Roman" w:hAnsi="Times New Roman" w:cs="Times New Roman"/>
          <w:sz w:val="20"/>
          <w:lang w:val="pl-PL"/>
        </w:rPr>
        <w:t>C</w:t>
      </w:r>
      <w:r w:rsidRPr="00787A08">
        <w:rPr>
          <w:rFonts w:ascii="Times New Roman" w:hAnsi="Times New Roman" w:cs="Times New Roman"/>
          <w:sz w:val="20"/>
        </w:rPr>
        <w:t>, что облегчает удаление силикона с поверхности.</w:t>
      </w:r>
    </w:p>
    <w:p w:rsidR="00787A08" w:rsidRPr="00787A08" w:rsidRDefault="00787A08" w:rsidP="00787A08">
      <w:pPr>
        <w:rPr>
          <w:rFonts w:ascii="Times New Roman" w:eastAsia="Calibri" w:hAnsi="Times New Roman" w:cs="Times New Roman"/>
          <w:sz w:val="20"/>
          <w:szCs w:val="20"/>
        </w:rPr>
      </w:pPr>
    </w:p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Перед нанесением пов</w:t>
      </w:r>
      <w:r w:rsidR="00CD5E35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ерхность обработать абразивом Р150-Р18</w:t>
      </w: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>0, пери</w:t>
      </w:r>
      <w:bookmarkStart w:id="0" w:name="_GoBack"/>
      <w:bookmarkEnd w:id="0"/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ферийные </w:t>
      </w:r>
      <w:r w:rsidR="00CD5E3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участки обработать абразивом Р180-Р24</w:t>
      </w: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0, затем тщательно обезжирить </w:t>
      </w:r>
      <w:r w:rsidRPr="00B80E69">
        <w:rPr>
          <w:rFonts w:ascii="Times New Roman" w:hAnsi="Times New Roman" w:cs="Times New Roman"/>
          <w:sz w:val="20"/>
          <w:szCs w:val="20"/>
        </w:rPr>
        <w:t>очистителем силикона SOLID SILICON CLEANER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</w:t>
      </w:r>
      <w:r w:rsidR="006F7825">
        <w:rPr>
          <w:rFonts w:ascii="Times New Roman" w:hAnsi="Times New Roman" w:cs="Times New Roman"/>
          <w:sz w:val="20"/>
          <w:szCs w:val="20"/>
        </w:rPr>
        <w:t>отвердителем в пропорции 100÷2</w:t>
      </w:r>
      <w:r w:rsidRPr="00B80E69">
        <w:rPr>
          <w:rFonts w:ascii="Times New Roman" w:hAnsi="Times New Roman" w:cs="Times New Roman"/>
          <w:sz w:val="20"/>
          <w:szCs w:val="20"/>
        </w:rPr>
        <w:t xml:space="preserve"> полиэфирная шпатлевка на заранее подготовленные участки ремонтируемой поверхности. 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Запрещено наносить шпатлевку непосредственно на реактивные основания, а </w:t>
      </w:r>
      <w:proofErr w:type="gramStart"/>
      <w:r w:rsidRPr="00B80E69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Pr="00B80E69">
        <w:rPr>
          <w:rFonts w:ascii="Times New Roman" w:hAnsi="Times New Roman" w:cs="Times New Roman"/>
          <w:sz w:val="20"/>
          <w:szCs w:val="20"/>
        </w:rPr>
        <w:t xml:space="preserve"> на однокомпонентные акриловые и нитроцеллюлозные поверхн</w:t>
      </w:r>
      <w:r w:rsidR="00CD5E35">
        <w:rPr>
          <w:rFonts w:ascii="Times New Roman" w:hAnsi="Times New Roman" w:cs="Times New Roman"/>
          <w:sz w:val="20"/>
          <w:szCs w:val="20"/>
        </w:rPr>
        <w:t>ости (термопластичные покрытия)</w:t>
      </w:r>
      <w:r w:rsidRPr="00B80E69">
        <w:rPr>
          <w:rFonts w:ascii="Times New Roman" w:hAnsi="Times New Roman" w:cs="Times New Roman"/>
          <w:sz w:val="20"/>
          <w:szCs w:val="20"/>
        </w:rPr>
        <w:t>.</w:t>
      </w:r>
    </w:p>
    <w:p w:rsidR="00D86497" w:rsidRPr="00B80E69" w:rsidRDefault="00D8649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D86497" w:rsidRPr="00B80E69" w:rsidRDefault="00CD5E35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1,86</w:t>
      </w:r>
      <w:r w:rsidR="00D86497">
        <w:rPr>
          <w:rFonts w:ascii="Times New Roman" w:hAnsi="Times New Roman" w:cs="Times New Roman"/>
          <w:sz w:val="20"/>
          <w:szCs w:val="20"/>
        </w:rPr>
        <w:t xml:space="preserve"> кг</w:t>
      </w:r>
      <w:r w:rsidR="00D86497" w:rsidRPr="00D86497">
        <w:rPr>
          <w:rFonts w:ascii="Times New Roman" w:hAnsi="Times New Roman" w:cs="Times New Roman"/>
          <w:sz w:val="20"/>
          <w:szCs w:val="20"/>
        </w:rPr>
        <w:t>/</w:t>
      </w:r>
      <w:r w:rsidR="00D86497">
        <w:rPr>
          <w:rFonts w:ascii="Times New Roman" w:hAnsi="Times New Roman" w:cs="Times New Roman"/>
          <w:sz w:val="20"/>
          <w:szCs w:val="20"/>
        </w:rPr>
        <w:t>л</w:t>
      </w:r>
    </w:p>
    <w:p w:rsidR="00D86497" w:rsidRDefault="006F7825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Цвет: </w:t>
      </w:r>
      <w:r w:rsidR="00CD5E35">
        <w:rPr>
          <w:rFonts w:ascii="Times New Roman" w:hAnsi="Times New Roman" w:cs="Times New Roman"/>
          <w:sz w:val="20"/>
          <w:szCs w:val="20"/>
        </w:rPr>
        <w:t>тёмно-серый</w:t>
      </w:r>
      <w:r w:rsidR="00D86497" w:rsidRPr="00B80E69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B80E69">
        <w:rPr>
          <w:rFonts w:ascii="Times New Roman" w:hAnsi="Times New Roman" w:cs="Times New Roman"/>
          <w:sz w:val="20"/>
          <w:szCs w:val="20"/>
        </w:rPr>
        <w:t xml:space="preserve"> для смеси = 115 [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B80E69">
        <w:rPr>
          <w:rFonts w:ascii="Times New Roman" w:hAnsi="Times New Roman" w:cs="Times New Roman"/>
          <w:sz w:val="20"/>
          <w:szCs w:val="20"/>
        </w:rPr>
        <w:t>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B80E69">
        <w:rPr>
          <w:rFonts w:ascii="Times New Roman" w:hAnsi="Times New Roman" w:cs="Times New Roman"/>
          <w:sz w:val="20"/>
          <w:szCs w:val="20"/>
        </w:rPr>
        <w:t>]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B80E69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B80E69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D86497" w:rsidRPr="00B80E69" w:rsidTr="0077341D">
        <w:trPr>
          <w:trHeight w:val="80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A9572" wp14:editId="5854071C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</w:t>
            </w:r>
            <w:r w:rsidR="00CD5E35">
              <w:rPr>
                <w:rFonts w:ascii="Times New Roman" w:hAnsi="Times New Roman" w:cs="Times New Roman"/>
                <w:sz w:val="20"/>
                <w:szCs w:val="20"/>
              </w:rPr>
              <w:t>несением обработать абразивом Р150-Р18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0, пер</w:t>
            </w:r>
            <w:r w:rsidR="00CD5E35">
              <w:rPr>
                <w:rFonts w:ascii="Times New Roman" w:hAnsi="Times New Roman" w:cs="Times New Roman"/>
                <w:sz w:val="20"/>
                <w:szCs w:val="20"/>
              </w:rPr>
              <w:t>иферийные участки обработать Р180-Р24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</w:tr>
      <w:tr w:rsidR="00D86497" w:rsidRPr="00B80E69" w:rsidTr="0077341D">
        <w:trPr>
          <w:trHeight w:val="78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1AF11" wp14:editId="17C5D64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6F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 w:rsidR="006F7825">
              <w:rPr>
                <w:rFonts w:ascii="Times New Roman" w:hAnsi="Times New Roman" w:cs="Times New Roman"/>
                <w:sz w:val="20"/>
                <w:szCs w:val="20"/>
              </w:rPr>
              <w:t>телем силикона SOLID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SILICON CLEANER </w:t>
            </w:r>
          </w:p>
        </w:tc>
      </w:tr>
      <w:tr w:rsidR="00D86497" w:rsidRPr="00B80E69" w:rsidTr="0077341D">
        <w:trPr>
          <w:trHeight w:val="98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91C22" wp14:editId="277917C0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B80E69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B80E69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CD5E35">
              <w:rPr>
                <w:sz w:val="20"/>
                <w:szCs w:val="20"/>
                <w:lang w:val="en-US"/>
              </w:rPr>
              <w:t>FLEX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 xml:space="preserve">Отвердитель </w:t>
            </w:r>
            <w:r w:rsidRPr="00B80E69">
              <w:rPr>
                <w:bCs/>
                <w:spacing w:val="-2"/>
                <w:sz w:val="20"/>
                <w:szCs w:val="20"/>
              </w:rPr>
              <w:t>для полиэфирной шпатлевки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B80E69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D86497" w:rsidRPr="00B80E69" w:rsidRDefault="006F7825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1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0DA98" wp14:editId="2F1EDBC0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D86497" w:rsidRPr="00B80E69" w:rsidTr="0077341D">
        <w:trPr>
          <w:trHeight w:val="65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12932" wp14:editId="51F631D7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D86497" w:rsidRPr="00B80E69" w:rsidTr="0077341D">
        <w:trPr>
          <w:trHeight w:val="76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2D44D" wp14:editId="54F78DF3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D86497" w:rsidRPr="00B80E69" w:rsidTr="0077341D">
        <w:trPr>
          <w:trHeight w:val="766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D8669" wp14:editId="79EA2988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D86497" w:rsidRPr="00B80E69" w:rsidTr="0077341D">
        <w:trPr>
          <w:trHeight w:val="77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39DF" wp14:editId="18E0F668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CD5E35" w:rsidP="00CD5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 шлифование Р150-Р180</w:t>
            </w:r>
          </w:p>
        </w:tc>
      </w:tr>
      <w:tr w:rsidR="00D86497" w:rsidRPr="00B80E69" w:rsidTr="0077341D">
        <w:trPr>
          <w:trHeight w:val="60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9B7D2" wp14:editId="51EDA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B80E69">
              <w:rPr>
                <w:spacing w:val="-8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7"/>
                <w:sz w:val="20"/>
                <w:szCs w:val="20"/>
              </w:rPr>
              <w:t>е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2"/>
                <w:sz w:val="20"/>
                <w:szCs w:val="20"/>
              </w:rPr>
              <w:t>б</w:t>
            </w:r>
            <w:r w:rsidRPr="00B80E69">
              <w:rPr>
                <w:sz w:val="20"/>
                <w:szCs w:val="20"/>
              </w:rPr>
              <w:t>оты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с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B80E69">
              <w:rPr>
                <w:spacing w:val="-10"/>
                <w:sz w:val="20"/>
                <w:szCs w:val="20"/>
              </w:rPr>
              <w:t xml:space="preserve">необходимо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z w:val="20"/>
                <w:szCs w:val="20"/>
              </w:rPr>
              <w:t>ь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3"/>
                <w:sz w:val="20"/>
                <w:szCs w:val="20"/>
              </w:rPr>
              <w:t>в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w w:val="99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ин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иви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6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й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ты.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г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и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ы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2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5"/>
                <w:sz w:val="20"/>
                <w:szCs w:val="20"/>
              </w:rPr>
              <w:t>н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11"/>
                <w:sz w:val="20"/>
                <w:szCs w:val="20"/>
              </w:rPr>
              <w:t xml:space="preserve"> </w:t>
            </w:r>
            <w:r w:rsidRPr="00B80E69">
              <w:rPr>
                <w:spacing w:val="-8"/>
                <w:sz w:val="20"/>
                <w:szCs w:val="20"/>
              </w:rPr>
              <w:t>д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3"/>
                <w:sz w:val="20"/>
                <w:szCs w:val="20"/>
              </w:rPr>
              <w:t>ж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z w:val="20"/>
                <w:szCs w:val="20"/>
              </w:rPr>
              <w:t>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3"/>
                <w:sz w:val="20"/>
                <w:szCs w:val="20"/>
              </w:rPr>
              <w:t>ш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тр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-3"/>
                <w:sz w:val="20"/>
                <w:szCs w:val="20"/>
              </w:rPr>
              <w:t>я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1"/>
                <w:sz w:val="20"/>
                <w:szCs w:val="20"/>
              </w:rPr>
              <w:t>Инструмент</w:t>
            </w:r>
            <w:r w:rsidRPr="00B80E69">
              <w:rPr>
                <w:spacing w:val="-3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5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очищать</w:t>
            </w:r>
            <w:r w:rsidRPr="00B80E69">
              <w:rPr>
                <w:spacing w:val="-5"/>
                <w:sz w:val="20"/>
                <w:szCs w:val="20"/>
              </w:rPr>
              <w:t xml:space="preserve"> 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у</w:t>
            </w:r>
            <w:r w:rsidRPr="00B80E69">
              <w:rPr>
                <w:spacing w:val="-13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ж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ле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>к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-1"/>
                <w:sz w:val="20"/>
                <w:szCs w:val="20"/>
              </w:rPr>
              <w:t>ча</w:t>
            </w:r>
            <w:r w:rsidRPr="00B80E69">
              <w:rPr>
                <w:spacing w:val="1"/>
                <w:sz w:val="20"/>
                <w:szCs w:val="20"/>
              </w:rPr>
              <w:t>ни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>б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>ы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6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C0388" wp14:editId="5BE04CB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53CA" w:rsidRPr="00AA53CA" w:rsidRDefault="00AA53CA" w:rsidP="006F7825">
      <w:pPr>
        <w:rPr>
          <w:sz w:val="28"/>
          <w:szCs w:val="28"/>
          <w:lang w:val="en-US"/>
        </w:rPr>
      </w:pPr>
    </w:p>
    <w:sectPr w:rsidR="00AA53CA" w:rsidRPr="00AA53CA" w:rsidSect="00D864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FD" w:rsidRDefault="002604FD" w:rsidP="00AA53CA">
      <w:pPr>
        <w:spacing w:after="0" w:line="240" w:lineRule="auto"/>
      </w:pPr>
      <w:r>
        <w:separator/>
      </w:r>
    </w:p>
  </w:endnote>
  <w:endnote w:type="continuationSeparator" w:id="0">
    <w:p w:rsidR="002604FD" w:rsidRDefault="002604FD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FD" w:rsidRDefault="002604FD" w:rsidP="00AA53CA">
      <w:pPr>
        <w:spacing w:after="0" w:line="240" w:lineRule="auto"/>
      </w:pPr>
      <w:r>
        <w:separator/>
      </w:r>
    </w:p>
  </w:footnote>
  <w:footnote w:type="continuationSeparator" w:id="0">
    <w:p w:rsidR="002604FD" w:rsidRDefault="002604FD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604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604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604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48C"/>
    <w:multiLevelType w:val="hybridMultilevel"/>
    <w:tmpl w:val="AF46A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D7C8E"/>
    <w:multiLevelType w:val="hybridMultilevel"/>
    <w:tmpl w:val="306CE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6F6A"/>
    <w:multiLevelType w:val="hybridMultilevel"/>
    <w:tmpl w:val="E7C040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604FD"/>
    <w:rsid w:val="002753A8"/>
    <w:rsid w:val="006F7825"/>
    <w:rsid w:val="00787A08"/>
    <w:rsid w:val="007E2478"/>
    <w:rsid w:val="009511CA"/>
    <w:rsid w:val="00987E3B"/>
    <w:rsid w:val="009C1F84"/>
    <w:rsid w:val="009F5F43"/>
    <w:rsid w:val="00A773B7"/>
    <w:rsid w:val="00AA53CA"/>
    <w:rsid w:val="00BA0EEA"/>
    <w:rsid w:val="00CD5E35"/>
    <w:rsid w:val="00D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7A08"/>
    <w:pPr>
      <w:ind w:left="720"/>
      <w:contextualSpacing/>
    </w:pPr>
  </w:style>
  <w:style w:type="paragraph" w:styleId="ab">
    <w:name w:val="No Spacing"/>
    <w:uiPriority w:val="1"/>
    <w:qFormat/>
    <w:rsid w:val="00787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7D924-9D00-4F98-9AB9-CF80FFB5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3</cp:revision>
  <dcterms:created xsi:type="dcterms:W3CDTF">2018-04-09T09:27:00Z</dcterms:created>
  <dcterms:modified xsi:type="dcterms:W3CDTF">2018-04-24T09:59:00Z</dcterms:modified>
</cp:coreProperties>
</file>